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FC" w:rsidRDefault="003C57FC" w:rsidP="003C57FC">
      <w:pPr>
        <w:pStyle w:val="Sansinterligne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C50A13">
        <w:rPr>
          <w:sz w:val="28"/>
          <w:szCs w:val="28"/>
          <w:u w:val="single"/>
        </w:rPr>
        <w:t>Vendredi 29 mai a eu l</w:t>
      </w:r>
      <w:r w:rsidR="00AA5972">
        <w:rPr>
          <w:sz w:val="28"/>
          <w:szCs w:val="28"/>
          <w:u w:val="single"/>
        </w:rPr>
        <w:t>i</w:t>
      </w:r>
      <w:r w:rsidRPr="00C50A13">
        <w:rPr>
          <w:sz w:val="28"/>
          <w:szCs w:val="28"/>
          <w:u w:val="single"/>
        </w:rPr>
        <w:t xml:space="preserve">eu la CAPA HC 2020 </w:t>
      </w:r>
    </w:p>
    <w:p w:rsidR="00C50A13" w:rsidRPr="00C50A13" w:rsidRDefault="00C50A13" w:rsidP="003C57FC">
      <w:pPr>
        <w:pStyle w:val="Sansinterligne"/>
        <w:jc w:val="center"/>
        <w:rPr>
          <w:sz w:val="28"/>
          <w:szCs w:val="28"/>
          <w:u w:val="single"/>
        </w:rPr>
      </w:pPr>
    </w:p>
    <w:p w:rsidR="00C50A13" w:rsidRPr="00AA5972" w:rsidRDefault="00AA5972" w:rsidP="00C50A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A5972">
        <w:rPr>
          <w:rFonts w:ascii="Arial" w:hAnsi="Arial" w:cs="Arial"/>
          <w:sz w:val="24"/>
          <w:szCs w:val="24"/>
        </w:rPr>
        <w:t>C</w:t>
      </w:r>
      <w:r w:rsidR="003C57FC" w:rsidRPr="00AA5972">
        <w:rPr>
          <w:rFonts w:ascii="Arial" w:hAnsi="Arial" w:cs="Arial"/>
          <w:sz w:val="24"/>
          <w:szCs w:val="24"/>
        </w:rPr>
        <w:t>ette CAPA, la 1</w:t>
      </w:r>
      <w:r w:rsidR="003C57FC" w:rsidRPr="00AA5972">
        <w:rPr>
          <w:rFonts w:ascii="Arial" w:hAnsi="Arial" w:cs="Arial"/>
          <w:sz w:val="24"/>
          <w:szCs w:val="24"/>
          <w:vertAlign w:val="superscript"/>
        </w:rPr>
        <w:t>ère</w:t>
      </w:r>
      <w:r w:rsidR="003C57FC" w:rsidRPr="00AA5972">
        <w:rPr>
          <w:rFonts w:ascii="Arial" w:hAnsi="Arial" w:cs="Arial"/>
          <w:sz w:val="24"/>
          <w:szCs w:val="24"/>
        </w:rPr>
        <w:t xml:space="preserve"> depuis le confinement s’est faite avec des représentants SNEP en présentiel et d’autres en visio</w:t>
      </w:r>
      <w:r w:rsidR="00DA55D8" w:rsidRPr="00AA5972">
        <w:rPr>
          <w:rFonts w:ascii="Arial" w:hAnsi="Arial" w:cs="Arial"/>
          <w:sz w:val="24"/>
          <w:szCs w:val="24"/>
        </w:rPr>
        <w:t>conférence</w:t>
      </w:r>
      <w:r w:rsidR="003C57FC" w:rsidRPr="00AA5972">
        <w:rPr>
          <w:rFonts w:ascii="Arial" w:hAnsi="Arial" w:cs="Arial"/>
          <w:sz w:val="24"/>
          <w:szCs w:val="24"/>
        </w:rPr>
        <w:t xml:space="preserve">,  un ou 2 représentants des chefs d’établissement en </w:t>
      </w:r>
      <w:r w:rsidR="00DA55D8" w:rsidRPr="00AA5972">
        <w:rPr>
          <w:rFonts w:ascii="Arial" w:hAnsi="Arial" w:cs="Arial"/>
          <w:sz w:val="24"/>
          <w:szCs w:val="24"/>
        </w:rPr>
        <w:t>visioconférence</w:t>
      </w:r>
      <w:r w:rsidR="003C57FC" w:rsidRPr="00AA5972">
        <w:rPr>
          <w:rFonts w:ascii="Arial" w:hAnsi="Arial" w:cs="Arial"/>
          <w:sz w:val="24"/>
          <w:szCs w:val="24"/>
        </w:rPr>
        <w:t>, une représentante de l’UNSA, 2 IPR : M MICHELETTI et M HOPPE et 3 représentants de l’administration M SEYER secrétaire général, Mme LAMBERT chef des DPE et Mme GURY pour la DPE EPS</w:t>
      </w:r>
      <w:r w:rsidR="00C50A13" w:rsidRPr="00AA5972">
        <w:rPr>
          <w:rFonts w:ascii="Arial" w:hAnsi="Arial" w:cs="Arial"/>
          <w:sz w:val="24"/>
          <w:szCs w:val="24"/>
        </w:rPr>
        <w:t>.</w:t>
      </w:r>
    </w:p>
    <w:p w:rsidR="003C57FC" w:rsidRPr="00AA5972" w:rsidRDefault="003C57FC" w:rsidP="00C50A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A5972">
        <w:rPr>
          <w:rFonts w:ascii="Arial" w:hAnsi="Arial" w:cs="Arial"/>
          <w:sz w:val="24"/>
          <w:szCs w:val="24"/>
        </w:rPr>
        <w:t xml:space="preserve">Il y avait 252 promouvables (230 en 2013) </w:t>
      </w:r>
      <w:r w:rsidR="005E037A" w:rsidRPr="00AA5972">
        <w:rPr>
          <w:rFonts w:ascii="Arial" w:hAnsi="Arial" w:cs="Arial"/>
          <w:sz w:val="24"/>
          <w:szCs w:val="24"/>
        </w:rPr>
        <w:t xml:space="preserve">pour </w:t>
      </w:r>
      <w:r w:rsidRPr="00AA5972">
        <w:rPr>
          <w:rFonts w:ascii="Arial" w:hAnsi="Arial" w:cs="Arial"/>
          <w:sz w:val="24"/>
          <w:szCs w:val="24"/>
        </w:rPr>
        <w:t>43 promotions</w:t>
      </w:r>
      <w:r w:rsidR="005E037A" w:rsidRPr="00AA5972">
        <w:rPr>
          <w:rFonts w:ascii="Arial" w:hAnsi="Arial" w:cs="Arial"/>
          <w:sz w:val="24"/>
          <w:szCs w:val="24"/>
        </w:rPr>
        <w:t xml:space="preserve"> possible</w:t>
      </w:r>
      <w:r w:rsidR="00C50A13" w:rsidRPr="00AA5972">
        <w:rPr>
          <w:rFonts w:ascii="Arial" w:hAnsi="Arial" w:cs="Arial"/>
          <w:sz w:val="24"/>
          <w:szCs w:val="24"/>
        </w:rPr>
        <w:t>s</w:t>
      </w:r>
      <w:r w:rsidRPr="00AA5972">
        <w:rPr>
          <w:rFonts w:ascii="Arial" w:hAnsi="Arial" w:cs="Arial"/>
          <w:sz w:val="24"/>
          <w:szCs w:val="24"/>
        </w:rPr>
        <w:t xml:space="preserve">. </w:t>
      </w:r>
      <w:r w:rsidR="005E037A" w:rsidRPr="00AA5972">
        <w:rPr>
          <w:rFonts w:ascii="Arial" w:hAnsi="Arial" w:cs="Arial"/>
          <w:sz w:val="24"/>
          <w:szCs w:val="24"/>
        </w:rPr>
        <w:t>(</w:t>
      </w:r>
      <w:r w:rsidRPr="00AA5972">
        <w:rPr>
          <w:rFonts w:ascii="Arial" w:hAnsi="Arial" w:cs="Arial"/>
          <w:sz w:val="24"/>
          <w:szCs w:val="24"/>
        </w:rPr>
        <w:t>17% de 252).</w:t>
      </w:r>
      <w:r w:rsidR="00C50A13" w:rsidRPr="00AA5972">
        <w:rPr>
          <w:rFonts w:ascii="Arial" w:hAnsi="Arial" w:cs="Arial"/>
          <w:sz w:val="24"/>
          <w:szCs w:val="24"/>
        </w:rPr>
        <w:t xml:space="preserve"> </w:t>
      </w:r>
      <w:r w:rsidRPr="00AA5972">
        <w:rPr>
          <w:rFonts w:ascii="Arial" w:hAnsi="Arial" w:cs="Arial"/>
          <w:sz w:val="24"/>
          <w:szCs w:val="24"/>
        </w:rPr>
        <w:t>113 femmes et 139 hommes</w:t>
      </w:r>
      <w:r w:rsidR="00C50A13" w:rsidRPr="00AA5972">
        <w:rPr>
          <w:rFonts w:ascii="Arial" w:hAnsi="Arial" w:cs="Arial"/>
          <w:sz w:val="24"/>
          <w:szCs w:val="24"/>
        </w:rPr>
        <w:t>.</w:t>
      </w:r>
      <w:r w:rsidRPr="00AA5972">
        <w:rPr>
          <w:rFonts w:ascii="Arial" w:hAnsi="Arial" w:cs="Arial"/>
          <w:sz w:val="24"/>
          <w:szCs w:val="24"/>
        </w:rPr>
        <w:t xml:space="preserve">  </w:t>
      </w:r>
    </w:p>
    <w:p w:rsidR="003C57FC" w:rsidRPr="00C50A13" w:rsidRDefault="003C57FC" w:rsidP="00C50A13">
      <w:pPr>
        <w:pStyle w:val="Sansinterligne"/>
        <w:jc w:val="both"/>
        <w:rPr>
          <w:rFonts w:ascii="Arial" w:hAnsi="Arial" w:cs="Arial"/>
          <w:color w:val="000000"/>
          <w:sz w:val="24"/>
          <w:szCs w:val="24"/>
        </w:rPr>
      </w:pPr>
      <w:r w:rsidRPr="00C50A13">
        <w:rPr>
          <w:rFonts w:ascii="Arial" w:hAnsi="Arial" w:cs="Arial"/>
          <w:color w:val="000000"/>
          <w:sz w:val="24"/>
          <w:szCs w:val="24"/>
        </w:rPr>
        <w:t xml:space="preserve">Le plus jeune promu est </w:t>
      </w:r>
      <w:r w:rsidR="005E037A" w:rsidRPr="00C50A13">
        <w:rPr>
          <w:rFonts w:ascii="Arial" w:hAnsi="Arial" w:cs="Arial"/>
          <w:color w:val="000000"/>
          <w:sz w:val="24"/>
          <w:szCs w:val="24"/>
        </w:rPr>
        <w:t>né en 19</w:t>
      </w:r>
      <w:r w:rsidRPr="00C50A13">
        <w:rPr>
          <w:rFonts w:ascii="Arial" w:hAnsi="Arial" w:cs="Arial"/>
          <w:color w:val="000000"/>
          <w:sz w:val="24"/>
          <w:szCs w:val="24"/>
        </w:rPr>
        <w:t xml:space="preserve">77 </w:t>
      </w:r>
      <w:r w:rsidR="005E037A" w:rsidRPr="00C50A13">
        <w:rPr>
          <w:rFonts w:ascii="Arial" w:hAnsi="Arial" w:cs="Arial"/>
          <w:color w:val="000000"/>
          <w:sz w:val="24"/>
          <w:szCs w:val="24"/>
        </w:rPr>
        <w:t>et était au</w:t>
      </w:r>
      <w:r w:rsidRPr="00C50A13">
        <w:rPr>
          <w:rFonts w:ascii="Arial" w:hAnsi="Arial" w:cs="Arial"/>
          <w:color w:val="000000"/>
          <w:sz w:val="24"/>
          <w:szCs w:val="24"/>
        </w:rPr>
        <w:t xml:space="preserve"> 10</w:t>
      </w:r>
      <w:r w:rsidRPr="00C50A13">
        <w:rPr>
          <w:rFonts w:ascii="Arial" w:hAnsi="Arial" w:cs="Arial"/>
          <w:color w:val="000000"/>
          <w:sz w:val="24"/>
          <w:szCs w:val="24"/>
          <w:vertAlign w:val="superscript"/>
        </w:rPr>
        <w:t>ème</w:t>
      </w:r>
      <w:r w:rsidRPr="00C50A13">
        <w:rPr>
          <w:rFonts w:ascii="Arial" w:hAnsi="Arial" w:cs="Arial"/>
          <w:color w:val="000000"/>
          <w:sz w:val="24"/>
          <w:szCs w:val="24"/>
        </w:rPr>
        <w:t xml:space="preserve"> échelon avec une ancienneté de </w:t>
      </w:r>
      <w:r w:rsidR="005E037A" w:rsidRPr="00C50A13">
        <w:rPr>
          <w:rFonts w:ascii="Arial" w:hAnsi="Arial" w:cs="Arial"/>
          <w:color w:val="000000"/>
          <w:sz w:val="24"/>
          <w:szCs w:val="24"/>
        </w:rPr>
        <w:t xml:space="preserve">plus d’un an et </w:t>
      </w:r>
      <w:r w:rsidR="00C50A13">
        <w:rPr>
          <w:rFonts w:ascii="Arial" w:hAnsi="Arial" w:cs="Arial"/>
          <w:color w:val="000000"/>
          <w:sz w:val="24"/>
          <w:szCs w:val="24"/>
        </w:rPr>
        <w:t>6 mois</w:t>
      </w:r>
      <w:r w:rsidRPr="00C50A13">
        <w:rPr>
          <w:rFonts w:ascii="Arial" w:hAnsi="Arial" w:cs="Arial"/>
          <w:color w:val="000000"/>
          <w:sz w:val="24"/>
          <w:szCs w:val="24"/>
        </w:rPr>
        <w:t>.</w:t>
      </w:r>
    </w:p>
    <w:p w:rsidR="003C57FC" w:rsidRPr="00C50A13" w:rsidRDefault="003C57FC" w:rsidP="00C50A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C50A13">
        <w:rPr>
          <w:rFonts w:ascii="Arial" w:hAnsi="Arial" w:cs="Arial"/>
          <w:sz w:val="24"/>
          <w:szCs w:val="24"/>
        </w:rPr>
        <w:t>Concernant les nouveaux promouvables</w:t>
      </w:r>
      <w:r w:rsidR="005E037A" w:rsidRPr="00C50A13">
        <w:rPr>
          <w:rFonts w:ascii="Arial" w:hAnsi="Arial" w:cs="Arial"/>
          <w:sz w:val="24"/>
          <w:szCs w:val="24"/>
        </w:rPr>
        <w:t xml:space="preserve"> 9</w:t>
      </w:r>
      <w:r w:rsidR="005E037A" w:rsidRPr="00C50A13">
        <w:rPr>
          <w:rFonts w:ascii="Arial" w:hAnsi="Arial" w:cs="Arial"/>
          <w:sz w:val="24"/>
          <w:szCs w:val="24"/>
          <w:vertAlign w:val="superscript"/>
        </w:rPr>
        <w:t>ème</w:t>
      </w:r>
      <w:r w:rsidR="005E037A" w:rsidRPr="00C50A13">
        <w:rPr>
          <w:rFonts w:ascii="Arial" w:hAnsi="Arial" w:cs="Arial"/>
          <w:sz w:val="24"/>
          <w:szCs w:val="24"/>
        </w:rPr>
        <w:t xml:space="preserve"> échelon</w:t>
      </w:r>
      <w:r w:rsidR="005C0BDF" w:rsidRPr="00C50A13">
        <w:rPr>
          <w:rFonts w:ascii="Arial" w:hAnsi="Arial" w:cs="Arial"/>
          <w:sz w:val="24"/>
          <w:szCs w:val="24"/>
        </w:rPr>
        <w:t xml:space="preserve"> + 2 ans</w:t>
      </w:r>
      <w:r w:rsidRPr="00C50A13">
        <w:rPr>
          <w:rFonts w:ascii="Arial" w:hAnsi="Arial" w:cs="Arial"/>
          <w:sz w:val="24"/>
          <w:szCs w:val="24"/>
        </w:rPr>
        <w:t>, ils sont 35 avec 16 avis excellent (4 en 2019), 22 avis très satisfaisant (19 en 2019) et 23 avis satisfaisant (12 en 2019)</w:t>
      </w:r>
    </w:p>
    <w:p w:rsidR="00767D47" w:rsidRDefault="005C0BDF" w:rsidP="00C50A13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AA5972">
        <w:rPr>
          <w:rFonts w:ascii="Arial" w:hAnsi="Arial" w:cs="Arial"/>
          <w:b/>
          <w:sz w:val="24"/>
          <w:szCs w:val="24"/>
        </w:rPr>
        <w:t>Dans not</w:t>
      </w:r>
      <w:r w:rsidR="00767D47" w:rsidRPr="00AA5972">
        <w:rPr>
          <w:rFonts w:ascii="Arial" w:hAnsi="Arial" w:cs="Arial"/>
          <w:b/>
          <w:sz w:val="24"/>
          <w:szCs w:val="24"/>
        </w:rPr>
        <w:t>re déclaration</w:t>
      </w:r>
      <w:r w:rsidR="00767D47">
        <w:rPr>
          <w:rFonts w:ascii="Arial" w:hAnsi="Arial" w:cs="Arial"/>
          <w:sz w:val="24"/>
          <w:szCs w:val="24"/>
        </w:rPr>
        <w:t xml:space="preserve"> nous avons </w:t>
      </w:r>
      <w:r w:rsidR="00AA5972">
        <w:rPr>
          <w:rFonts w:ascii="Arial" w:hAnsi="Arial" w:cs="Arial"/>
          <w:sz w:val="24"/>
          <w:szCs w:val="24"/>
        </w:rPr>
        <w:t>énoncé</w:t>
      </w:r>
      <w:r w:rsidR="00767D47">
        <w:rPr>
          <w:rFonts w:ascii="Arial" w:hAnsi="Arial" w:cs="Arial"/>
          <w:b/>
          <w:sz w:val="24"/>
          <w:szCs w:val="24"/>
        </w:rPr>
        <w:t> :</w:t>
      </w:r>
    </w:p>
    <w:p w:rsidR="00767D47" w:rsidRPr="00AA5972" w:rsidRDefault="00767D47" w:rsidP="00C50A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A5972">
        <w:rPr>
          <w:rFonts w:ascii="Arial" w:hAnsi="Arial" w:cs="Arial"/>
          <w:sz w:val="24"/>
          <w:szCs w:val="24"/>
        </w:rPr>
        <w:t>- D’une part qu’il était</w:t>
      </w:r>
      <w:r w:rsidR="005C0BDF" w:rsidRPr="00AA5972">
        <w:rPr>
          <w:rFonts w:ascii="Arial" w:hAnsi="Arial" w:cs="Arial"/>
          <w:sz w:val="24"/>
          <w:szCs w:val="24"/>
        </w:rPr>
        <w:t xml:space="preserve"> nécessaire que des décisions fortes soient prises pour que les personnels reprennent confiance envers l’administration. Car cette confiance des personnels a été largement mise à mal par une communication erratique du ministre. Les annonces ont été très nombreuses parfois contradictoires</w:t>
      </w:r>
      <w:r w:rsidR="00DA55D8" w:rsidRPr="00AA5972">
        <w:rPr>
          <w:rFonts w:ascii="Arial" w:hAnsi="Arial" w:cs="Arial"/>
          <w:sz w:val="24"/>
          <w:szCs w:val="24"/>
        </w:rPr>
        <w:t> : elles n’ont</w:t>
      </w:r>
      <w:r w:rsidR="005C0BDF" w:rsidRPr="00AA5972">
        <w:rPr>
          <w:rFonts w:ascii="Arial" w:hAnsi="Arial" w:cs="Arial"/>
          <w:sz w:val="24"/>
          <w:szCs w:val="24"/>
        </w:rPr>
        <w:t xml:space="preserve"> rassuré ni les familles ni les enseignants. </w:t>
      </w:r>
    </w:p>
    <w:p w:rsidR="000E01A1" w:rsidRPr="00AA5972" w:rsidRDefault="00767D47" w:rsidP="00C50A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A5972">
        <w:rPr>
          <w:rFonts w:ascii="Arial" w:hAnsi="Arial" w:cs="Arial"/>
          <w:sz w:val="24"/>
          <w:szCs w:val="24"/>
        </w:rPr>
        <w:t>- D’autre part que</w:t>
      </w:r>
      <w:r w:rsidR="005C0BDF" w:rsidRPr="00AA5972">
        <w:rPr>
          <w:rFonts w:ascii="Arial" w:hAnsi="Arial" w:cs="Arial"/>
          <w:sz w:val="24"/>
          <w:szCs w:val="24"/>
        </w:rPr>
        <w:t xml:space="preserve"> le retour de l’avis des CAPA concernant les opérations de carrière et de mutations </w:t>
      </w:r>
      <w:r w:rsidRPr="00AA5972">
        <w:rPr>
          <w:rFonts w:ascii="Arial" w:hAnsi="Arial" w:cs="Arial"/>
          <w:sz w:val="24"/>
          <w:szCs w:val="24"/>
        </w:rPr>
        <w:t>soit</w:t>
      </w:r>
      <w:r w:rsidR="005C0BDF" w:rsidRPr="00AA5972">
        <w:rPr>
          <w:rFonts w:ascii="Arial" w:hAnsi="Arial" w:cs="Arial"/>
          <w:sz w:val="24"/>
          <w:szCs w:val="24"/>
        </w:rPr>
        <w:t xml:space="preserve"> </w:t>
      </w:r>
      <w:r w:rsidR="000E01A1" w:rsidRPr="00AA5972">
        <w:rPr>
          <w:rFonts w:ascii="Arial" w:hAnsi="Arial" w:cs="Arial"/>
          <w:sz w:val="24"/>
          <w:szCs w:val="24"/>
        </w:rPr>
        <w:t>une nécessité</w:t>
      </w:r>
      <w:r w:rsidR="005C0BDF" w:rsidRPr="00AA5972">
        <w:rPr>
          <w:rFonts w:ascii="Arial" w:hAnsi="Arial" w:cs="Arial"/>
          <w:sz w:val="24"/>
          <w:szCs w:val="24"/>
        </w:rPr>
        <w:t xml:space="preserve">. Les personnels doivent pouvoir être représentés et défendus par les organisations syndicales qu’elles élisent avec une participation jamais démentie et un score sans appel en ce qui concerne le SNEP-FSU. </w:t>
      </w:r>
    </w:p>
    <w:p w:rsidR="000E01A1" w:rsidRPr="00AA5972" w:rsidRDefault="000E01A1" w:rsidP="00C50A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A5972">
        <w:rPr>
          <w:rFonts w:ascii="Arial" w:hAnsi="Arial" w:cs="Arial"/>
          <w:b/>
          <w:sz w:val="24"/>
          <w:szCs w:val="24"/>
        </w:rPr>
        <w:t>Ce travail des commissaires a d’ailleurs encore une fois prouvé son intérêt</w:t>
      </w:r>
      <w:r w:rsidRPr="00AA5972">
        <w:rPr>
          <w:rFonts w:ascii="Arial" w:hAnsi="Arial" w:cs="Arial"/>
          <w:sz w:val="24"/>
          <w:szCs w:val="24"/>
        </w:rPr>
        <w:t xml:space="preserve"> puisque nous avons signalé avant cette CAPA une erreur pour 2 collègues dont le b</w:t>
      </w:r>
      <w:r w:rsidR="00767D47" w:rsidRPr="00AA5972">
        <w:rPr>
          <w:rFonts w:ascii="Arial" w:hAnsi="Arial" w:cs="Arial"/>
          <w:sz w:val="24"/>
          <w:szCs w:val="24"/>
        </w:rPr>
        <w:t>arème n’avait pas été augmenté  par rapport à</w:t>
      </w:r>
      <w:r w:rsidRPr="00AA5972">
        <w:rPr>
          <w:rFonts w:ascii="Arial" w:hAnsi="Arial" w:cs="Arial"/>
          <w:sz w:val="24"/>
          <w:szCs w:val="24"/>
        </w:rPr>
        <w:t xml:space="preserve"> l’année dernière et qui </w:t>
      </w:r>
      <w:r w:rsidR="00DF7C67" w:rsidRPr="00AA5972">
        <w:rPr>
          <w:rFonts w:ascii="Arial" w:hAnsi="Arial" w:cs="Arial"/>
          <w:sz w:val="24"/>
          <w:szCs w:val="24"/>
        </w:rPr>
        <w:t>ont pu être promus</w:t>
      </w:r>
      <w:r w:rsidR="00767D47" w:rsidRPr="00AA5972">
        <w:rPr>
          <w:rFonts w:ascii="Arial" w:hAnsi="Arial" w:cs="Arial"/>
          <w:sz w:val="24"/>
          <w:szCs w:val="24"/>
        </w:rPr>
        <w:t> !</w:t>
      </w:r>
    </w:p>
    <w:p w:rsidR="000E01A1" w:rsidRPr="00AA5972" w:rsidRDefault="000E01A1" w:rsidP="00C50A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A5972">
        <w:rPr>
          <w:rFonts w:ascii="Arial" w:hAnsi="Arial" w:cs="Arial"/>
          <w:sz w:val="24"/>
          <w:szCs w:val="24"/>
        </w:rPr>
        <w:t>En réponse à cette déclaration, M SEYER</w:t>
      </w:r>
      <w:r w:rsidR="00767D47" w:rsidRPr="00AA5972">
        <w:rPr>
          <w:rFonts w:ascii="Arial" w:hAnsi="Arial" w:cs="Arial"/>
          <w:sz w:val="24"/>
          <w:szCs w:val="24"/>
        </w:rPr>
        <w:t xml:space="preserve"> a</w:t>
      </w:r>
      <w:r w:rsidRPr="00AA5972">
        <w:rPr>
          <w:rFonts w:ascii="Arial" w:hAnsi="Arial" w:cs="Arial"/>
          <w:sz w:val="24"/>
          <w:szCs w:val="24"/>
        </w:rPr>
        <w:t xml:space="preserve"> dit qu’il y a</w:t>
      </w:r>
      <w:r w:rsidR="00767D47" w:rsidRPr="00AA5972">
        <w:rPr>
          <w:rFonts w:ascii="Arial" w:hAnsi="Arial" w:cs="Arial"/>
          <w:sz w:val="24"/>
          <w:szCs w:val="24"/>
        </w:rPr>
        <w:t>vait</w:t>
      </w:r>
      <w:r w:rsidRPr="00AA5972">
        <w:rPr>
          <w:rFonts w:ascii="Arial" w:hAnsi="Arial" w:cs="Arial"/>
          <w:sz w:val="24"/>
          <w:szCs w:val="24"/>
        </w:rPr>
        <w:t xml:space="preserve"> des directives nationales concernant les CAPA et qu’ils doivent les appliquer.</w:t>
      </w:r>
      <w:r w:rsidR="00DF7C67" w:rsidRPr="00AA5972">
        <w:rPr>
          <w:rFonts w:ascii="Arial" w:hAnsi="Arial" w:cs="Arial"/>
          <w:sz w:val="24"/>
          <w:szCs w:val="24"/>
        </w:rPr>
        <w:t xml:space="preserve"> </w:t>
      </w:r>
      <w:r w:rsidR="00C436F6" w:rsidRPr="00AA5972">
        <w:rPr>
          <w:rFonts w:ascii="Arial" w:hAnsi="Arial" w:cs="Arial"/>
          <w:sz w:val="24"/>
          <w:szCs w:val="24"/>
        </w:rPr>
        <w:t xml:space="preserve">Cependant, </w:t>
      </w:r>
      <w:r w:rsidR="00DF7C67" w:rsidRPr="00AA5972">
        <w:rPr>
          <w:rFonts w:ascii="Arial" w:hAnsi="Arial" w:cs="Arial"/>
          <w:sz w:val="24"/>
          <w:szCs w:val="24"/>
        </w:rPr>
        <w:t>il y a d’autres académies qui reconnaissent l’intérêt d</w:t>
      </w:r>
      <w:r w:rsidR="00C436F6" w:rsidRPr="00AA5972">
        <w:rPr>
          <w:rFonts w:ascii="Arial" w:hAnsi="Arial" w:cs="Arial"/>
          <w:sz w:val="24"/>
          <w:szCs w:val="24"/>
        </w:rPr>
        <w:t>e travailler avec</w:t>
      </w:r>
      <w:r w:rsidR="00DF7C67" w:rsidRPr="00AA5972">
        <w:rPr>
          <w:rFonts w:ascii="Arial" w:hAnsi="Arial" w:cs="Arial"/>
          <w:sz w:val="24"/>
          <w:szCs w:val="24"/>
        </w:rPr>
        <w:t xml:space="preserve"> les organisations syndicales et qui ont mis en place des groupes de travail notamment pour les mutations inter.</w:t>
      </w:r>
    </w:p>
    <w:p w:rsidR="005C0BDF" w:rsidRPr="00AA5972" w:rsidRDefault="002654E3" w:rsidP="00C50A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A5972">
        <w:rPr>
          <w:rFonts w:ascii="Arial" w:hAnsi="Arial" w:cs="Arial"/>
          <w:sz w:val="24"/>
          <w:szCs w:val="24"/>
        </w:rPr>
        <w:t>Puis</w:t>
      </w:r>
      <w:r w:rsidR="0033273E" w:rsidRPr="00AA5972">
        <w:rPr>
          <w:rFonts w:ascii="Arial" w:hAnsi="Arial" w:cs="Arial"/>
          <w:sz w:val="24"/>
          <w:szCs w:val="24"/>
        </w:rPr>
        <w:t xml:space="preserve"> nous</w:t>
      </w:r>
      <w:r w:rsidR="00767D47" w:rsidRPr="00AA5972">
        <w:rPr>
          <w:rFonts w:ascii="Arial" w:hAnsi="Arial" w:cs="Arial"/>
          <w:sz w:val="24"/>
          <w:szCs w:val="24"/>
        </w:rPr>
        <w:t xml:space="preserve"> avons</w:t>
      </w:r>
      <w:r w:rsidR="005C0BDF" w:rsidRPr="00AA5972">
        <w:rPr>
          <w:rFonts w:ascii="Arial" w:hAnsi="Arial" w:cs="Arial"/>
          <w:sz w:val="24"/>
          <w:szCs w:val="24"/>
        </w:rPr>
        <w:t xml:space="preserve"> signal</w:t>
      </w:r>
      <w:r w:rsidR="00767D47" w:rsidRPr="00AA5972">
        <w:rPr>
          <w:rFonts w:ascii="Arial" w:hAnsi="Arial" w:cs="Arial"/>
          <w:sz w:val="24"/>
          <w:szCs w:val="24"/>
        </w:rPr>
        <w:t>é</w:t>
      </w:r>
      <w:r w:rsidR="005C0BDF" w:rsidRPr="00AA5972">
        <w:rPr>
          <w:rFonts w:ascii="Arial" w:hAnsi="Arial" w:cs="Arial"/>
          <w:sz w:val="24"/>
          <w:szCs w:val="24"/>
        </w:rPr>
        <w:t xml:space="preserve"> que la mise en place </w:t>
      </w:r>
      <w:r w:rsidR="005C0BDF" w:rsidRPr="00AA5972">
        <w:rPr>
          <w:rFonts w:ascii="Arial" w:hAnsi="Arial" w:cs="Arial"/>
          <w:b/>
          <w:sz w:val="24"/>
          <w:szCs w:val="24"/>
        </w:rPr>
        <w:t>d</w:t>
      </w:r>
      <w:r w:rsidR="00C436F6" w:rsidRPr="00AA5972">
        <w:rPr>
          <w:rFonts w:ascii="Arial" w:hAnsi="Arial" w:cs="Arial"/>
          <w:b/>
          <w:sz w:val="24"/>
          <w:szCs w:val="24"/>
        </w:rPr>
        <w:t>u nouveau système de promotion était</w:t>
      </w:r>
      <w:r w:rsidR="005C0BDF" w:rsidRPr="00AA5972">
        <w:rPr>
          <w:rFonts w:ascii="Arial" w:hAnsi="Arial" w:cs="Arial"/>
          <w:b/>
          <w:sz w:val="24"/>
          <w:szCs w:val="24"/>
        </w:rPr>
        <w:t xml:space="preserve"> un progrès avec des incidences très positives sur l’</w:t>
      </w:r>
      <w:r w:rsidR="00767D47" w:rsidRPr="00AA5972">
        <w:rPr>
          <w:rFonts w:ascii="Arial" w:hAnsi="Arial" w:cs="Arial"/>
          <w:b/>
          <w:sz w:val="24"/>
          <w:szCs w:val="24"/>
        </w:rPr>
        <w:t>égalité professionnelle, mais qui restait</w:t>
      </w:r>
      <w:r w:rsidR="005C0BDF" w:rsidRPr="00AA5972">
        <w:rPr>
          <w:rFonts w:ascii="Arial" w:hAnsi="Arial" w:cs="Arial"/>
          <w:b/>
          <w:sz w:val="24"/>
          <w:szCs w:val="24"/>
        </w:rPr>
        <w:t xml:space="preserve"> une certaine injustice pour les collègues au 10</w:t>
      </w:r>
      <w:r w:rsidR="005C0BDF" w:rsidRPr="00AA5972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="005C0BDF" w:rsidRPr="00AA5972">
        <w:rPr>
          <w:rFonts w:ascii="Arial" w:hAnsi="Arial" w:cs="Arial"/>
          <w:b/>
          <w:sz w:val="24"/>
          <w:szCs w:val="24"/>
        </w:rPr>
        <w:t xml:space="preserve"> échelon</w:t>
      </w:r>
      <w:r w:rsidR="005C0BDF" w:rsidRPr="00AA5972">
        <w:rPr>
          <w:rFonts w:ascii="Arial" w:hAnsi="Arial" w:cs="Arial"/>
          <w:sz w:val="24"/>
          <w:szCs w:val="24"/>
        </w:rPr>
        <w:t xml:space="preserve"> qui subissent des appréciations pérennes données lors de la mise en place du nouveau système</w:t>
      </w:r>
      <w:r w:rsidR="00C436F6" w:rsidRPr="00AA5972">
        <w:rPr>
          <w:rFonts w:ascii="Arial" w:hAnsi="Arial" w:cs="Arial"/>
          <w:sz w:val="24"/>
          <w:szCs w:val="24"/>
        </w:rPr>
        <w:t>.</w:t>
      </w:r>
    </w:p>
    <w:p w:rsidR="00EB3776" w:rsidRPr="00AA5972" w:rsidRDefault="00EB3776" w:rsidP="00C50A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A5972">
        <w:rPr>
          <w:rFonts w:ascii="Arial" w:hAnsi="Arial" w:cs="Arial"/>
          <w:sz w:val="24"/>
          <w:szCs w:val="24"/>
        </w:rPr>
        <w:t>Nous lui</w:t>
      </w:r>
      <w:r w:rsidR="00DA55D8" w:rsidRPr="00AA5972">
        <w:rPr>
          <w:rFonts w:ascii="Arial" w:hAnsi="Arial" w:cs="Arial"/>
          <w:sz w:val="24"/>
          <w:szCs w:val="24"/>
        </w:rPr>
        <w:t xml:space="preserve"> avons</w:t>
      </w:r>
      <w:r w:rsidRPr="00AA5972">
        <w:rPr>
          <w:rFonts w:ascii="Arial" w:hAnsi="Arial" w:cs="Arial"/>
          <w:sz w:val="24"/>
          <w:szCs w:val="24"/>
        </w:rPr>
        <w:t xml:space="preserve"> pr</w:t>
      </w:r>
      <w:r w:rsidR="00DA55D8" w:rsidRPr="00AA5972">
        <w:rPr>
          <w:rFonts w:ascii="Arial" w:hAnsi="Arial" w:cs="Arial"/>
          <w:sz w:val="24"/>
          <w:szCs w:val="24"/>
        </w:rPr>
        <w:t xml:space="preserve">écisé </w:t>
      </w:r>
      <w:r w:rsidRPr="00AA5972">
        <w:rPr>
          <w:rFonts w:ascii="Arial" w:hAnsi="Arial" w:cs="Arial"/>
          <w:sz w:val="24"/>
          <w:szCs w:val="24"/>
        </w:rPr>
        <w:t xml:space="preserve">qu’il serait bien à l’avenir </w:t>
      </w:r>
      <w:r w:rsidRPr="00AA5972">
        <w:rPr>
          <w:rFonts w:ascii="Arial" w:hAnsi="Arial" w:cs="Arial"/>
          <w:b/>
          <w:sz w:val="24"/>
          <w:szCs w:val="24"/>
        </w:rPr>
        <w:t>d’avoir u</w:t>
      </w:r>
      <w:r w:rsidR="00C436F6" w:rsidRPr="00AA5972">
        <w:rPr>
          <w:rFonts w:ascii="Arial" w:hAnsi="Arial" w:cs="Arial"/>
          <w:b/>
          <w:sz w:val="24"/>
          <w:szCs w:val="24"/>
        </w:rPr>
        <w:t>ne attention particulière pour c</w:t>
      </w:r>
      <w:r w:rsidRPr="00AA5972">
        <w:rPr>
          <w:rFonts w:ascii="Arial" w:hAnsi="Arial" w:cs="Arial"/>
          <w:b/>
          <w:sz w:val="24"/>
          <w:szCs w:val="24"/>
        </w:rPr>
        <w:t xml:space="preserve">es </w:t>
      </w:r>
      <w:r w:rsidR="00C436F6" w:rsidRPr="00AA5972">
        <w:rPr>
          <w:rFonts w:ascii="Arial" w:hAnsi="Arial" w:cs="Arial"/>
          <w:b/>
          <w:sz w:val="24"/>
          <w:szCs w:val="24"/>
        </w:rPr>
        <w:t xml:space="preserve">86 </w:t>
      </w:r>
      <w:r w:rsidRPr="00AA5972">
        <w:rPr>
          <w:rFonts w:ascii="Arial" w:hAnsi="Arial" w:cs="Arial"/>
          <w:b/>
          <w:sz w:val="24"/>
          <w:szCs w:val="24"/>
        </w:rPr>
        <w:t>collègues pénalisés</w:t>
      </w:r>
      <w:r w:rsidRPr="00AA5972">
        <w:rPr>
          <w:rFonts w:ascii="Arial" w:hAnsi="Arial" w:cs="Arial"/>
          <w:sz w:val="24"/>
          <w:szCs w:val="24"/>
        </w:rPr>
        <w:t xml:space="preserve"> par ces avis donnés avec des quotas arbitraires</w:t>
      </w:r>
      <w:r w:rsidR="00C436F6" w:rsidRPr="00AA5972">
        <w:rPr>
          <w:rFonts w:ascii="Arial" w:hAnsi="Arial" w:cs="Arial"/>
          <w:sz w:val="24"/>
          <w:szCs w:val="24"/>
        </w:rPr>
        <w:t xml:space="preserve"> </w:t>
      </w:r>
      <w:r w:rsidR="00DA55D8" w:rsidRPr="00AA5972">
        <w:rPr>
          <w:rFonts w:ascii="Arial" w:hAnsi="Arial" w:cs="Arial"/>
          <w:sz w:val="24"/>
          <w:szCs w:val="24"/>
        </w:rPr>
        <w:t>car</w:t>
      </w:r>
      <w:r w:rsidR="00C436F6" w:rsidRPr="00AA5972">
        <w:rPr>
          <w:rFonts w:ascii="Arial" w:hAnsi="Arial" w:cs="Arial"/>
          <w:sz w:val="24"/>
          <w:szCs w:val="24"/>
        </w:rPr>
        <w:t xml:space="preserve"> </w:t>
      </w:r>
      <w:r w:rsidR="00DA55D8" w:rsidRPr="00AA5972">
        <w:rPr>
          <w:rFonts w:ascii="Arial" w:hAnsi="Arial" w:cs="Arial"/>
          <w:sz w:val="24"/>
          <w:szCs w:val="24"/>
        </w:rPr>
        <w:t xml:space="preserve">ils </w:t>
      </w:r>
      <w:r w:rsidR="00C436F6" w:rsidRPr="00AA5972">
        <w:rPr>
          <w:rFonts w:ascii="Arial" w:hAnsi="Arial" w:cs="Arial"/>
          <w:sz w:val="24"/>
          <w:szCs w:val="24"/>
        </w:rPr>
        <w:t>progressent moins vite que d’autres collègues.</w:t>
      </w:r>
    </w:p>
    <w:p w:rsidR="002654E3" w:rsidRPr="00AA5972" w:rsidRDefault="002654E3" w:rsidP="00C50A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A5972">
        <w:rPr>
          <w:rFonts w:ascii="Arial" w:hAnsi="Arial" w:cs="Arial"/>
          <w:sz w:val="24"/>
          <w:szCs w:val="24"/>
        </w:rPr>
        <w:t>Suite au PPCR, tous les agents doivent pouvoir accéder à 2 grades différents, tous les professeurs devraient finir leur carrière en étant hors classe. Mais tous n’arriveront peut être pas à la fin de leur carrière au dernier échelon de la hors classe. Il y actuellement 6 échelons à la hors classe et un 7</w:t>
      </w:r>
      <w:r w:rsidRPr="00AA5972">
        <w:rPr>
          <w:rFonts w:ascii="Arial" w:hAnsi="Arial" w:cs="Arial"/>
          <w:sz w:val="24"/>
          <w:szCs w:val="24"/>
          <w:vertAlign w:val="superscript"/>
        </w:rPr>
        <w:t>ème</w:t>
      </w:r>
      <w:r w:rsidRPr="00AA5972">
        <w:rPr>
          <w:rFonts w:ascii="Arial" w:hAnsi="Arial" w:cs="Arial"/>
          <w:sz w:val="24"/>
          <w:szCs w:val="24"/>
        </w:rPr>
        <w:t xml:space="preserve"> échelon sera créé en 2021. Nous </w:t>
      </w:r>
      <w:r w:rsidR="00767D47" w:rsidRPr="00AA5972">
        <w:rPr>
          <w:rFonts w:ascii="Arial" w:hAnsi="Arial" w:cs="Arial"/>
          <w:sz w:val="24"/>
          <w:szCs w:val="24"/>
        </w:rPr>
        <w:t xml:space="preserve">avons </w:t>
      </w:r>
      <w:r w:rsidR="00C50A13" w:rsidRPr="00AA5972">
        <w:rPr>
          <w:rFonts w:ascii="Arial" w:hAnsi="Arial" w:cs="Arial"/>
          <w:sz w:val="24"/>
          <w:szCs w:val="24"/>
        </w:rPr>
        <w:t>d</w:t>
      </w:r>
      <w:r w:rsidRPr="00AA5972">
        <w:rPr>
          <w:rFonts w:ascii="Arial" w:hAnsi="Arial" w:cs="Arial"/>
          <w:sz w:val="24"/>
          <w:szCs w:val="24"/>
        </w:rPr>
        <w:t>onc aussi</w:t>
      </w:r>
      <w:r w:rsidR="00767D47" w:rsidRPr="00AA5972">
        <w:rPr>
          <w:rFonts w:ascii="Arial" w:hAnsi="Arial" w:cs="Arial"/>
          <w:sz w:val="24"/>
          <w:szCs w:val="24"/>
        </w:rPr>
        <w:t xml:space="preserve"> souligné</w:t>
      </w:r>
      <w:r w:rsidR="00C50A13" w:rsidRPr="00AA5972">
        <w:rPr>
          <w:rFonts w:ascii="Arial" w:hAnsi="Arial" w:cs="Arial"/>
          <w:sz w:val="24"/>
          <w:szCs w:val="24"/>
        </w:rPr>
        <w:t xml:space="preserve"> qu’il faut</w:t>
      </w:r>
      <w:r w:rsidRPr="00AA5972">
        <w:rPr>
          <w:rFonts w:ascii="Arial" w:hAnsi="Arial" w:cs="Arial"/>
          <w:sz w:val="24"/>
          <w:szCs w:val="24"/>
        </w:rPr>
        <w:t xml:space="preserve"> </w:t>
      </w:r>
      <w:r w:rsidRPr="00AA5972">
        <w:rPr>
          <w:rFonts w:ascii="Arial" w:hAnsi="Arial" w:cs="Arial"/>
          <w:b/>
          <w:sz w:val="24"/>
          <w:szCs w:val="24"/>
        </w:rPr>
        <w:t>porter une attention aux collègues proches de la retraite</w:t>
      </w:r>
      <w:r w:rsidRPr="00AA5972">
        <w:rPr>
          <w:rFonts w:ascii="Arial" w:hAnsi="Arial" w:cs="Arial"/>
          <w:sz w:val="24"/>
          <w:szCs w:val="24"/>
        </w:rPr>
        <w:t xml:space="preserve"> nés en 1966 afin qu’ils puissent atteindre ce dernier échelon de la HC.</w:t>
      </w:r>
    </w:p>
    <w:p w:rsidR="002654E3" w:rsidRPr="00AA5972" w:rsidRDefault="002654E3" w:rsidP="00C50A1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AA5972">
        <w:rPr>
          <w:rFonts w:ascii="Arial" w:hAnsi="Arial" w:cs="Arial"/>
          <w:sz w:val="24"/>
          <w:szCs w:val="24"/>
        </w:rPr>
        <w:t>Vous pouvez retrouver toutes les informations sur cet accès à la hors classe  sur notre site du SNEP académique.</w:t>
      </w:r>
    </w:p>
    <w:p w:rsidR="002654E3" w:rsidRPr="00AA5972" w:rsidRDefault="00AA5972" w:rsidP="00AA5972">
      <w:pPr>
        <w:pStyle w:val="Sansinterligne"/>
        <w:jc w:val="right"/>
      </w:pPr>
      <w:r w:rsidRPr="00AA5972">
        <w:t>Laurent SIMONIN</w:t>
      </w:r>
    </w:p>
    <w:sectPr w:rsidR="002654E3" w:rsidRPr="00AA5972" w:rsidSect="0020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FC"/>
    <w:rsid w:val="000E01A1"/>
    <w:rsid w:val="0020777B"/>
    <w:rsid w:val="002654E3"/>
    <w:rsid w:val="0033273E"/>
    <w:rsid w:val="003C57FC"/>
    <w:rsid w:val="005C0BDF"/>
    <w:rsid w:val="005E037A"/>
    <w:rsid w:val="00767D47"/>
    <w:rsid w:val="00AA5972"/>
    <w:rsid w:val="00B375E1"/>
    <w:rsid w:val="00C436F6"/>
    <w:rsid w:val="00C50A13"/>
    <w:rsid w:val="00D77EE2"/>
    <w:rsid w:val="00DA55D8"/>
    <w:rsid w:val="00DF7C67"/>
    <w:rsid w:val="00E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7BE72-0972-40F5-BC5D-1BB32FF6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D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5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simonin</dc:creator>
  <cp:lastModifiedBy>laurent simonin</cp:lastModifiedBy>
  <cp:revision>2</cp:revision>
  <dcterms:created xsi:type="dcterms:W3CDTF">2020-06-07T17:53:00Z</dcterms:created>
  <dcterms:modified xsi:type="dcterms:W3CDTF">2020-06-07T17:53:00Z</dcterms:modified>
</cp:coreProperties>
</file>